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pPr>
      <w:bookmarkStart w:id="0" w:name="_GoBack"/>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武当山特区丹江口库区入库排污口“一口一策”整治方案清单</w:t>
      </w:r>
    </w:p>
    <w:bookmarkEnd w:id="0"/>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宋体" w:cs="楷体_GB2312"/>
          <w:b/>
          <w:bCs/>
          <w:color w:val="000000" w:themeColor="text1"/>
          <w:sz w:val="36"/>
          <w:szCs w:val="36"/>
          <w14:textFill>
            <w14:solidFill>
              <w14:schemeClr w14:val="tx1"/>
            </w14:solidFill>
          </w14:textFill>
        </w:rPr>
      </w:pPr>
    </w:p>
    <w:tbl>
      <w:tblPr>
        <w:tblStyle w:val="7"/>
        <w:tblW w:w="20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06"/>
        <w:gridCol w:w="1180"/>
        <w:gridCol w:w="1276"/>
        <w:gridCol w:w="1276"/>
        <w:gridCol w:w="1134"/>
        <w:gridCol w:w="1134"/>
        <w:gridCol w:w="2837"/>
        <w:gridCol w:w="1084"/>
        <w:gridCol w:w="1908"/>
        <w:gridCol w:w="2310"/>
        <w:gridCol w:w="1033"/>
        <w:gridCol w:w="1059"/>
        <w:gridCol w:w="133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blHeader/>
          <w:jc w:val="center"/>
        </w:trPr>
        <w:tc>
          <w:tcPr>
            <w:tcW w:w="426" w:type="dxa"/>
            <w:vMerge w:val="restart"/>
            <w:shd w:val="clear" w:color="auto" w:fill="auto"/>
            <w:vAlign w:val="center"/>
          </w:tcPr>
          <w:p>
            <w:pPr>
              <w:widowControl/>
              <w:spacing w:line="240" w:lineRule="exact"/>
              <w:jc w:val="center"/>
              <w:textAlignment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序号</w:t>
            </w:r>
          </w:p>
        </w:tc>
        <w:tc>
          <w:tcPr>
            <w:tcW w:w="5238" w:type="dxa"/>
            <w:gridSpan w:val="4"/>
            <w:shd w:val="clear" w:color="auto" w:fill="auto"/>
            <w:vAlign w:val="center"/>
          </w:tcPr>
          <w:p>
            <w:pPr>
              <w:widowControl/>
              <w:spacing w:line="240" w:lineRule="exact"/>
              <w:jc w:val="center"/>
              <w:textAlignment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排口基本信息</w:t>
            </w:r>
          </w:p>
        </w:tc>
        <w:tc>
          <w:tcPr>
            <w:tcW w:w="2268" w:type="dxa"/>
            <w:gridSpan w:val="2"/>
            <w:shd w:val="clear" w:color="auto" w:fill="auto"/>
            <w:vAlign w:val="center"/>
          </w:tcPr>
          <w:p>
            <w:pPr>
              <w:widowControl/>
              <w:spacing w:line="240" w:lineRule="exact"/>
              <w:jc w:val="center"/>
              <w:textAlignment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排口类型</w:t>
            </w:r>
          </w:p>
        </w:tc>
        <w:tc>
          <w:tcPr>
            <w:tcW w:w="2837" w:type="dxa"/>
            <w:shd w:val="clear" w:color="auto" w:fill="auto"/>
            <w:vAlign w:val="center"/>
          </w:tcPr>
          <w:p>
            <w:pPr>
              <w:widowControl/>
              <w:spacing w:line="240" w:lineRule="exact"/>
              <w:jc w:val="center"/>
              <w:textAlignment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溯源阶段信息</w:t>
            </w:r>
          </w:p>
        </w:tc>
        <w:tc>
          <w:tcPr>
            <w:tcW w:w="10152" w:type="dxa"/>
            <w:gridSpan w:val="7"/>
            <w:vAlign w:val="center"/>
          </w:tcPr>
          <w:p>
            <w:pPr>
              <w:widowControl/>
              <w:spacing w:line="240" w:lineRule="exact"/>
              <w:jc w:val="center"/>
              <w:textAlignment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整治方案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426" w:type="dxa"/>
            <w:vMerge w:val="continue"/>
            <w:vAlign w:val="center"/>
          </w:tcPr>
          <w:p>
            <w:pPr>
              <w:widowControl/>
              <w:spacing w:line="240" w:lineRule="exact"/>
              <w:jc w:val="center"/>
              <w:textAlignment w:val="center"/>
              <w:rPr>
                <w:rFonts w:hint="eastAsia" w:ascii="黑体" w:hAnsi="黑体" w:eastAsia="黑体" w:cs="黑体"/>
                <w:b w:val="0"/>
                <w:bCs w:val="0"/>
                <w:color w:val="000000" w:themeColor="text1"/>
                <w:szCs w:val="21"/>
                <w14:textFill>
                  <w14:solidFill>
                    <w14:schemeClr w14:val="tx1"/>
                  </w14:solidFill>
                </w14:textFill>
              </w:rPr>
            </w:pPr>
          </w:p>
        </w:tc>
        <w:tc>
          <w:tcPr>
            <w:tcW w:w="1506"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正式命名</w:t>
            </w:r>
          </w:p>
        </w:tc>
        <w:tc>
          <w:tcPr>
            <w:tcW w:w="1180"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正式编码</w:t>
            </w:r>
          </w:p>
        </w:tc>
        <w:tc>
          <w:tcPr>
            <w:tcW w:w="1276"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经度</w:t>
            </w:r>
          </w:p>
        </w:tc>
        <w:tc>
          <w:tcPr>
            <w:tcW w:w="1276"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纬度</w:t>
            </w:r>
          </w:p>
        </w:tc>
        <w:tc>
          <w:tcPr>
            <w:tcW w:w="1134"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大类</w:t>
            </w:r>
          </w:p>
        </w:tc>
        <w:tc>
          <w:tcPr>
            <w:tcW w:w="1134"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小类</w:t>
            </w:r>
          </w:p>
        </w:tc>
        <w:tc>
          <w:tcPr>
            <w:tcW w:w="2837"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溯源发现的主要问题</w:t>
            </w:r>
          </w:p>
        </w:tc>
        <w:tc>
          <w:tcPr>
            <w:tcW w:w="1084"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整治类型</w:t>
            </w:r>
          </w:p>
        </w:tc>
        <w:tc>
          <w:tcPr>
            <w:tcW w:w="1908"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整治目标</w:t>
            </w:r>
          </w:p>
        </w:tc>
        <w:tc>
          <w:tcPr>
            <w:tcW w:w="2310"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整治措施</w:t>
            </w:r>
          </w:p>
        </w:tc>
        <w:tc>
          <w:tcPr>
            <w:tcW w:w="1033" w:type="dxa"/>
            <w:shd w:val="clear" w:color="auto" w:fill="auto"/>
            <w:vAlign w:val="center"/>
          </w:tcPr>
          <w:p>
            <w:pPr>
              <w:widowControl/>
              <w:spacing w:line="240" w:lineRule="exact"/>
              <w:jc w:val="center"/>
              <w:textAlignment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完成</w:t>
            </w:r>
          </w:p>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时限</w:t>
            </w:r>
          </w:p>
        </w:tc>
        <w:tc>
          <w:tcPr>
            <w:tcW w:w="1059"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是否完成整治</w:t>
            </w:r>
          </w:p>
        </w:tc>
        <w:tc>
          <w:tcPr>
            <w:tcW w:w="1335"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责任主体</w:t>
            </w:r>
          </w:p>
        </w:tc>
        <w:tc>
          <w:tcPr>
            <w:tcW w:w="1423" w:type="dxa"/>
            <w:shd w:val="clear" w:color="auto" w:fill="auto"/>
            <w:vAlign w:val="center"/>
          </w:tcPr>
          <w:p>
            <w:pPr>
              <w:widowControl/>
              <w:spacing w:line="240" w:lineRule="exact"/>
              <w:jc w:val="center"/>
              <w:textAlignment w:val="center"/>
              <w:rPr>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武当山旅游经济特区太极湖延长路雨洪排口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FG4203620001YH00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111.079326</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32.539857</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城镇雨洪排口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城镇雨洪排口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该排口为道路下一雨洪渠，太极湖延长线靠太和武当山医院一侧雨水管也汇入其中，但红庙路16号、17号居民楼有生活污水及路口公厕污水均汇入雨洪渠，通过该排口排放。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清理雨洪渠，完善管网建设（将石家庄村一组部分未纳入管网的农村生活污水和养殖户废水接入污水管网）；加强日常巡查。</w:t>
            </w:r>
          </w:p>
        </w:tc>
        <w:tc>
          <w:tcPr>
            <w:tcW w:w="1033" w:type="dxa"/>
            <w:shd w:val="clear" w:color="auto" w:fill="auto"/>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武当山旅游经济特区污水处理厂排污口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FG4203620002SH00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111.070026</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32.537132</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城镇生活污水排污口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城镇污水集中处理设施排污口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溯源核实该排口为武当山污水处理厂排口，排口旁立有标牌，但标牌还是水利部门监管。</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出水主要指标达到《地表水环境质量标准》（GB3838-2002）Ⅳ类标准；总氮达到GB18918-2002一级A标准。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树立标识标牌，设置采样口；加强日常巡查。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十堰市武当山污水处理厂</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武当山旅游经济特区武当国际武术交流中心停车场雨洪排口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FG4203620007YH00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111.069571</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32.529494</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城镇雨洪排口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城镇雨洪排口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经查阅管网图，显示该排口连接50米开外的道路雨水管道，确认其为雨洪排口。监测数据显示轻微超标。</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清理雨水渠，修复破损管网，加强日常巡查。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武当山特区公安局后方其他排口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FG4203620008QT00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111.071314</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32.535159</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经现场溯源发现该排污口实际上为武当山特区公安局后方山体雨洪汇流渠道，该渠道水体汇入到公安局院内化粪池，后再汇入到市政污水管道。</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完善雨水管道建设，接入市政管网；加强日常巡查。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武当山旅游经济特区公安局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武当山特区善水街营销中心停车场雨洪排口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FG4203620014YH00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111.067365</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32.530390</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城镇雨洪排口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城镇雨洪排口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经溯源该排口为善水街营销中心停车场雨水汇流排口。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清理雨水渠，修复破损管网，加强日常巡查。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武当山特区善水街停车场临河侧雨洪排口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FG4203620015YH00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111.067374</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32.530434</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城镇雨洪排口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城镇雨洪排口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该管道排口用于收集武当山旅游经济特区善水街停车场马路对面，武当山农商行及附近小区的雨水。</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清理雨水渠，修复破损管网，加强日常巡查。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武当山特区汉十高速施工区临时排口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FG4203620016QT00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111.067460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32.525678</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经溯源核实，汉十高速施工工地临时生产废水通过该路桥排口流入剑河。</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恢复临时施工工地原貌，不再通过该排口进行临时性排水；恢复排口原本雨洪功能属性；加强日常巡查。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武当山旅游经济特区公路局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武当山高速公路路口元和观村四组移民安置区道路边沟雨水排口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FG4203620017QT00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111.104210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32.513939</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经溯源核实，该排口位于武当山特区高速口和元和观村四组之间的公路下，公路雨洪排水以及旁边元和观村四组居民点的雨洪排水和生活污水混合流入到该排口中，最终汇入到一处死水坑塘。</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达到《湖北省农村生活污水处理设施水污染物排放标准》（DB42/1537—2019）二级标准。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新建农村生活污水治理设施，对坑塘进行清淤和生态修复，树立标识标牌；加强日常巡查。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武当山旅游经济特区太极湖办事处十字岭社区四组排污口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FG4203620029GQ00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111.052911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32.529843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经溯源核实，该排口为0044号许昌腻子粉厂西侧排口的末端。</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对沟渠进行清理，完善雨水沟建设，对坑塘进行清淤和生态修复；加强日常巡查。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武当山旅游经济特区剑河河堤其他排口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FG4203620032QT00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111.067525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32.555548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经溯源核实，该排口已封堵。</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依法取缔</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取缔</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拆除排口管道，加强日常巡查。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武当山旅游经济特区武当山变电站雨污混排口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FG4203620038QT00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111.060562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32.536532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溯源时未排水，该排口形式为堆砌渠道，该渠道延变电站围墙延伸山上，周边无其他污染源，判定其排放雨水。监测数据显示轻微超标。</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清理雨水渠，完善管网建设（将变电站废水接入污水处理站），加强日常巡查。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武当山旅游经济特区太极湖办事处十字岭社区3组农村雨水排口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FG4203620039QT00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111.056465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32.531549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经溯源核实，该排口主要排放雨水，但十字岭社区三组的部分农村生活污水经该排口直接排放。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清理雨水渠，完善污水管网建设，将未纳入管网的生活污水接入十字岭社区农村生活污水处理站；加强日常巡查。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武当山旅游经济特区十堰和瑞零部件有限公司西侧农村雨水排口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FG4203620040QT00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111.056979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32.531935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经溯源核实，该排口主要排放雨水，但十字岭社区三组的部分农村生活污水经该排口直接排放。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清理雨水渠，完善污水管网建设，将未纳入管网的生活污水接入十字岭社区农村生活污水处理站；加强日常巡查。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武当山旅游经济特区武当山双龙工贸有限公司厂区后方雨水排口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FG4203620041GY00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111.053832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32.532309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工业排污口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厂区雨水排口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厂区围墙外雨水边沟。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清理雨水渠，拆除雨水渠边上的旱厕，防止污水外溢；加强日常巡查。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武当山旅游经济特区太极湖街道办事处十字岭社区4组安置点农村雨水排口1</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FG4203620042QT00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111.054267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32.530173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经溯源核实，该排口主要排放雨水，但十字岭社区四组的部分农村生活污水经该排口直接排放。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清理雨水渠，完善污水管网建设，将未纳入管网的生活污水接入十字岭社区新建污水处理站；加强日常巡查。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2025.12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武当山旅游经济特区太极湖街道办事处十字岭社区4组安置点农村雨水排口2</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FG4203620043QT00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111.054547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32.530438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经溯源核实，该排口主要排放雨水，但十字岭社区四组的部分农村生活污水经该排口直接排放。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清理雨水渠，完善污水管网建设，将未纳入管网的生活污水接入十字岭社区新建污水处理站；加强日常巡查。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2025.12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17</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武当山旅游经济特区太极湖办事处十字岭社区4组许昌腻子粉厂西侧农村雨水排口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FG4203620044QT00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111.055752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32.527607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经溯源核实，该排口主要排放雨水，但六里坪镇蒿口村的部分农村生活污水经该排口直接排放，排口在武当山特区十字岭社区。</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清理雨水渠，完善污水管网建设，将未纳入管网的生活污水接入十字岭社区新建污水处理站；加强日常巡查。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2025.12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18</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武当山旅游经济特区遇真宫西南侧堤岸沟渠类排污口2</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FG4203620046GQ00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111.119326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32.504143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经溯源核实，该排口主要是排雨水，但有部分遇真宫村的农村生活污水汇入到该排口。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建设农村生活污水治理设施，完善配套管网；清理沿线雨水渠，加强日常巡查。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19</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武当山旅游经济特区遇真宫村1组玄岳门公交站西公路雨水排口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FG4203620047QT00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111.127391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32.502232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经溯源核实，此处为公路雨水排口，混有公路边居民少量生活污水经该排口直接排放。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建设农村生活污水治理设施，完善配套管网；清理沿线雨水渠，加强日常巡查。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武当山旅游经济特区武当山山门停车场西侧其他排口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FG4203620049QT00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111.086709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32.506700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经溯源核实，该排口为武当山风景区山门处雨水和生活污水混合排放，进入市政管网。</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雨污分流，确保接入市政管网。</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清理雨水渠，修复破损管网，完善管网建设；加强日常巡查。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湖北武当山旅游股份有限公司</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w:t>
            </w:r>
            <w:r>
              <w:rPr>
                <w:rFonts w:hint="eastAsia" w:ascii="仿宋_GB2312" w:hAnsi="仿宋_GB2312" w:eastAsia="仿宋_GB2312" w:cs="仿宋_GB2312"/>
                <w:color w:val="000000" w:themeColor="text1"/>
                <w:szCs w:val="21"/>
                <w:lang w:eastAsia="zh-CN"/>
                <w14:textFill>
                  <w14:solidFill>
                    <w14:schemeClr w14:val="tx1"/>
                  </w14:solidFill>
                </w14:textFill>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武当山旅游经济特区武当山街道下河入库排口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FG4203620053GQ00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111.111302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32.500331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经溯源核实，该排口为小微水体下河的出水口。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完善管网建设（将元和观村部分未纳入管网的农村生活污水接入元和观村污水处理站）；对河口疏通清淤，加强日常巡查。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武当山旅游经济特区水利</w:t>
            </w:r>
            <w:r>
              <w:rPr>
                <w:rFonts w:hint="eastAsia" w:ascii="仿宋_GB2312" w:hAnsi="仿宋_GB2312" w:eastAsia="仿宋_GB2312" w:cs="仿宋_GB2312"/>
                <w:color w:val="000000" w:themeColor="text1"/>
                <w:szCs w:val="21"/>
                <w:lang w:eastAsia="zh-CN"/>
                <w14:textFill>
                  <w14:solidFill>
                    <w14:schemeClr w14:val="tx1"/>
                  </w14:solidFill>
                </w14:textFill>
              </w:rPr>
              <w:t>和</w:t>
            </w:r>
            <w:r>
              <w:rPr>
                <w:rFonts w:hint="eastAsia" w:ascii="仿宋_GB2312" w:hAnsi="仿宋_GB2312" w:eastAsia="仿宋_GB2312" w:cs="仿宋_GB2312"/>
                <w:color w:val="000000" w:themeColor="text1"/>
                <w:szCs w:val="21"/>
                <w14:textFill>
                  <w14:solidFill>
                    <w14:schemeClr w14:val="tx1"/>
                  </w14:solidFill>
                </w14:textFill>
              </w:rPr>
              <w:t>湖泊局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武当山旅游经济特区水利</w:t>
            </w:r>
            <w:r>
              <w:rPr>
                <w:rFonts w:hint="eastAsia" w:ascii="仿宋_GB2312" w:hAnsi="仿宋_GB2312" w:eastAsia="仿宋_GB2312" w:cs="仿宋_GB2312"/>
                <w:color w:val="000000" w:themeColor="text1"/>
                <w:szCs w:val="21"/>
                <w:lang w:eastAsia="zh-CN"/>
                <w14:textFill>
                  <w14:solidFill>
                    <w14:schemeClr w14:val="tx1"/>
                  </w14:solidFill>
                </w14:textFill>
              </w:rPr>
              <w:t>和</w:t>
            </w:r>
            <w:r>
              <w:rPr>
                <w:rFonts w:hint="eastAsia" w:ascii="仿宋_GB2312" w:hAnsi="仿宋_GB2312" w:eastAsia="仿宋_GB2312" w:cs="仿宋_GB2312"/>
                <w:color w:val="000000" w:themeColor="text1"/>
                <w:szCs w:val="21"/>
                <w14:textFill>
                  <w14:solidFill>
                    <w14:schemeClr w14:val="tx1"/>
                  </w14:solidFill>
                </w14:textFill>
              </w:rPr>
              <w:t>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武当山旅游经济特区遇真宫西南侧堤岸沟渠类排口3</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FG4203620055GQ00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111.119916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32.504037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经溯源核实，排口为穿越公路与河堤的沟渠，有部分农村生活污水经该排口直接排放。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建设农村生活污水治理设施，完善配套管网；清理沿线雨水渠，加强日常巡查。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23</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武当山旅游经济特区遇真宫西侧堤岸沟渠类排口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FG4203620057GQ00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111.116533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32.504723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经溯源核实，该排口为沟渠过水涵洞排口，有村民在排口处养牛。</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清理雨水沟渠，排口处清淤并进行生态修复；加强日常巡查。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武当山旅游经济特区水利</w:t>
            </w:r>
            <w:r>
              <w:rPr>
                <w:rFonts w:hint="eastAsia" w:ascii="仿宋_GB2312" w:hAnsi="仿宋_GB2312" w:eastAsia="仿宋_GB2312" w:cs="仿宋_GB2312"/>
                <w:color w:val="000000" w:themeColor="text1"/>
                <w:szCs w:val="21"/>
                <w:lang w:eastAsia="zh-CN"/>
                <w14:textFill>
                  <w14:solidFill>
                    <w14:schemeClr w14:val="tx1"/>
                  </w14:solidFill>
                </w14:textFill>
              </w:rPr>
              <w:t>和</w:t>
            </w:r>
            <w:r>
              <w:rPr>
                <w:rFonts w:hint="eastAsia" w:ascii="仿宋_GB2312" w:hAnsi="仿宋_GB2312" w:eastAsia="仿宋_GB2312" w:cs="仿宋_GB2312"/>
                <w:color w:val="000000" w:themeColor="text1"/>
                <w:szCs w:val="21"/>
                <w14:textFill>
                  <w14:solidFill>
                    <w14:schemeClr w14:val="tx1"/>
                  </w14:solidFill>
                </w14:textFill>
              </w:rPr>
              <w:t>湖泊局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武当山旅游经济特区水利</w:t>
            </w:r>
            <w:r>
              <w:rPr>
                <w:rFonts w:hint="eastAsia" w:ascii="仿宋_GB2312" w:hAnsi="仿宋_GB2312" w:eastAsia="仿宋_GB2312" w:cs="仿宋_GB2312"/>
                <w:color w:val="000000" w:themeColor="text1"/>
                <w:szCs w:val="21"/>
                <w:lang w:eastAsia="zh-CN"/>
                <w14:textFill>
                  <w14:solidFill>
                    <w14:schemeClr w14:val="tx1"/>
                  </w14:solidFill>
                </w14:textFill>
              </w:rPr>
              <w:t>和</w:t>
            </w:r>
            <w:r>
              <w:rPr>
                <w:rFonts w:hint="eastAsia" w:ascii="仿宋_GB2312" w:hAnsi="仿宋_GB2312" w:eastAsia="仿宋_GB2312" w:cs="仿宋_GB2312"/>
                <w:color w:val="000000" w:themeColor="text1"/>
                <w:szCs w:val="21"/>
                <w14:textFill>
                  <w14:solidFill>
                    <w14:schemeClr w14:val="tx1"/>
                  </w14:solidFill>
                </w14:textFill>
              </w:rPr>
              <w:t>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24</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武当山旅游经济特区遇真宫村师和功夫馆对面公路下农村雨水排口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FG4203620058QT00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111.114401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32.506035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经溯源核实，该排口主要排放雨水，但遇真宫村四组部分农村生活污水经该排口直接排放进水库。</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建设农村生活污水治理设施，完善配套管网；清理沿线雨水渠，加强日常巡查。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武当山旅游经济特区武当山自来水厂反冲洗排口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FG4203620061GY00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111.112860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32.541408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工业排污口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生产废水排污口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该排口排放自来水厂反冲洗脱泥水。</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依法取缔</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取缔</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封堵并拆除现有排口；反冲水经沉淀池沉淀后，采用滴灌的形式用于厂区周边杂树林绿化。</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武当山自来水厂</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26</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武当山旅游经济特区元和观村一组农村雨水排口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FG4203620064QT00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111.107802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32.505474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主要排放农村聚集区雨水，但有少量农村生活污水经该排口排放。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清理雨水渠，完善污水管网建设，将未纳入管网的生活污水接入元和观村农村污水处理站；加强日常巡查。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2024.12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武当山旅游经济特区武当山街道办事处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武当山旅游经济特区武当山街道办事处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武当山旅游经济特区冲虚庵下方农村雨水排口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FG4203620066QT00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111.129551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32.505872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溯源发现该排口汇集冲虚庵周边道路、山体雨水及冲虚庵和一户居民生活污水。</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雨污分流，水质达到《地表水环境质量标准》（GB3838-2002）Ⅴ类标准。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清理雨水渠，冲虚庵和旁边的一农户的生活污水经化粪池处理后用于周边农田灌溉；加强日常巡查。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武当山旅游经济特区文物宗教事务局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武当山旅游经济特区文物宗教事务局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28</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武当山旅游经济特区金花树村湿地退水排口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FG4203620067QT00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111.130221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32.511327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该排口为金花树村湿地退水排口，截止到2023年3月22日，该湿地正在建设，未排水。</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湿地建成后，树立标识标牌；加强日常巡查。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29</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武当山旅游经济特区桑树庙村1号属移民安置区农村生活污水处理站污水排放口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FG4203620072NY00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111.164488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32.489207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农业农村排污口</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农村生活污水排污口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经溯源核实，该排口为农村生活污水处理站的污水排放口。监测数据显示总氮因子超标。</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规范整治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水质达到《湖北省农村生活污水处理设施水污染物排放标准》（DB42/1537—2019）二级标准。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对桑树庙村1号农村生活污水处理站进行维护，树立标识标牌；加强日常巡查。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30</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武当山旅游经济特区桑树庙村1号属移民安置区农村生活污水处理站溢流排口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FG4203620073QT00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111.164489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32.489194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该排口为桑树庙村1号属移民安置区农村生活污水处理站溢流排口。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依法取缔</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取缔</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对溢流口进行封堵，加强日常巡查。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武当山旅游经济特区梅子沟村贺生贵鱼塘养殖废水排口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FG4203620079NY00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111.171113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32.499777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农业农村排污口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水产养殖排污口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溯源时正在排水，排口为一白色PVC管，穿越河堤连接旁边鱼塘，判定其为鱼塘养殖废水排口。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依法取缔</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取缔</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养殖废水经处理后用于农田浇灌，防止外溢；加强日常巡查。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武当山旅游经济特区太极湖办事处十字岭2组农村生活污水排口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FG4203810103NY00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111.060833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32.539444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农业农村排污口</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农村生活污水排污口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经溯源核实，该排口为农村集中式化粪池污水直排口。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清理合并</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封堵排口，污水纳入污水管网。</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完善管网建设，生活污水接入十字岭社区新建污水处理站；加强日常巡查。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2025.12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33</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武当山特区太极湖办事处十字岭社区四组西侧户主张富英房侧面生活污水排口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FG4203810528NY00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111.054700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32.528571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农业农村排污口</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农村生活污水排污口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经溯源核实，十字岭社区四组的部分农村生活污水经该排口直接排放。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清理合并</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污水纳入污水管网。</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完善污水管网建设，将未纳入管网的生活污水接入十字岭社区新建污水处理站；加强日常巡查。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2025.12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34</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武当山特区太极湖办事处十字岭社区四组西侧户主明廷孝房后生活污水排口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FG4203810529NY00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111.055000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32.528374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农业农村排污口</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农村生活污水排污口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经溯源核实，十字岭社区四组的部分农村生活污水经该排口直接排放。</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清理合并</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污水纳入污水管网。</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完善污水管网建设，将未纳入管网的生活污水接入十字岭社区新建污水处理站；加强日常巡查。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2025.12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否</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35</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武当山旅游经济特区剑河入库排口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FG4203620003GQ00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111.070414</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32.554474</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该排污口类型为河汊型，排水来源为地表径流。</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水质达到《地表水环境质量标准》（GB3838-2002）Ⅲ类标准。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落实河长制度，制定水质保护方案，确保水质质量不下降，加强长效监管。</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武当山旅游经济特区水利和湖泊局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武当山旅游经济特区水利和湖泊局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武当山旅游经济特区金海丰铸造有限公司2号其他排口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FG4203620004QT00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111.058844</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32.529553</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经现场溯源，发现该排污口实际上为金海丰精密铸造有限公司内部一条渠道，污水最终进入厂区外排水管网，实质上其为非排污口。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确保接入市政管网</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对排水渠进行清理疏通，加强日常巡查。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十堰市金海丰精密铸造有限公司</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十堰市生态环境局武当山分局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37</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武当山旅游经济特区金海丰精密铸造有限公司1号其他排口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FG4203620005QT00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111.059467</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32.529315</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现场溯源发现，该点位为企业排水渠，最终进入市政管网，实际应为非排口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确保接入市政管网</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对排水渠进行清理疏通，加强日常巡查。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十堰市金海丰精密铸造有限公司</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十堰市生态环境局武当山分局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38</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武当山特区太极湖东路公路桥东侧剑河二路雨洪排口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FG4203620006YH00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111.069284</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32.521801</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城镇雨洪排口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城镇雨洪排口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溯源核实该排口实际为检修市政管道的入口，但路面有雨水收集口与其连接，具备排雨洪功能。</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39</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武当山街道山水四季小区D区10栋楼后其他排口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FG4203620009QT00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111.082816</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32.539305</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经现场溯源发现该该排污口实际上为武当山街道山水四季D区山水壹号10号楼后方雨洪排口，该渠道水体汇入到小区内沟渠，该沟渠连接进入市政雨水管网。</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40</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武当山旅游发展中心雨洪排口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FG4203620010YH00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111.078992</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32.540740</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城镇雨洪排口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城镇雨洪排口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经查阅管网图，显示该排口连接40米开外的道路雨水管道，确认其为雨洪排口。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清理雨水管道，加强日常巡查。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武当山旅游发展中心西大门公路其他排口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FG4203620011QT00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111.076749</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32.542116</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经溯源排查，该排查排口实际为武当山旅游发展中心空调系统循环水抽水管道，为非排口。在旁边发现一个雨洪排口。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清理雨水管道，加强日常巡查。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武当山旅游经济特区太极湖办事处石家庄村彭家大院雨水排口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FG4203620012QT00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111.093327</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32.538461</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溯源时未排水，该排口形式为水泥沟，该水泥沟延伸至山上，实际为山体截洪沟。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43</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太极湖办事处石家庄村小西沟区南侧500米山体截洪沟排口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FG4203620013QT00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111.084684</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32.532273</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该排口为山体截洪沟，最后汇流入道路雨水边沟。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44</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武当山高速服务区南区入口雨水排口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FG4203620018QT00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111.135881</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32.505571</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该排口为高速公路服务区雨水排口。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十堰市武当山旅游经济特区汉十高速公路武当山服务区</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45</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武当山高速服务区北区入口雨水排口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FG4203620019QT00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111.135943</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32.506718</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服务区雨水排口。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武当山旅游经济特区汉十高速公路武当山服务区</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46</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武当山旅游经济特区大屋场移民区宜民路11号C区11栋楼旁山体截洪沟排口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FG4203620020QT00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111.078082</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32.549225</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山体截洪沟。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47</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武当山旅游经济特区大屋场移民区宜民路11号C区1栋楼旁其他排口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FG4203620021QT00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111.079105</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32.550945</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溯源发现该排口实际为居民房前屋后一排水沟，在排水沟末端进入雨水管道，实际为非排口。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武当山特区大屋场移民区水产养殖厂东南方山体截洪沟排口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FG4203620022QT00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111.080820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32.550473</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山体截洪沟雨水汇流经该排口流入雨洪沟渠。</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49</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武当山旅游经济特区大屋场移民区雷家沟水塘南侧农村雨水排口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FG4203620023QT00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111.076778</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32.552762</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该排口为雨水汇流排口。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武当山旅游经济特区大屋场移民区雷家沟水塘东侧山体截洪沟排口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FG4203620024QT00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111.076997</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32.553042</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山体截洪沟。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武当山特区太极湖学校操场后山山体截洪沟排口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FG4203620025QT00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111.079783</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32.536975</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山体截洪沟。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武当山旅游经济特区太极湖学校</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武当山旅游经济特区山水四季A区26楼旁其他排口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FG4203620026QT00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111.079778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32.546594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山体截洪沟，排入市政管网，实际为非排口。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53</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武当山旅游经济特区剑河河堤雨洪排口1</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FG4203620027YH00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111.067061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32.555536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城镇雨洪排口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城镇雨洪排口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河堤雨洪排口。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54</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武当山旅游经济特区太极湖办事处十字岭村四组水库河堤雨洪排口1</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FG4203620030YH00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111.052506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32.531791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城镇雨洪排口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城镇雨洪排口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溯源时未排水，沿排口管道走向往上游溯源，发现其连接雨水管井，确认其排放雨水。</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55</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武当山旅游经济特区太极湖街道山水国际小区22号楼后其他排口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FG4203620033QT00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111.064565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32.530056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溯源时未排水，经核实该排口为山脚下一排水沟，周边无其他污染源，判定其排放山林雨水，其排入雨水管网。</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56</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武当山旅游经济特区太极湖街道庄子沟小区1号楼东侧山体截洪沟排口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FG4203620034QT00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111.065186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32.533017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溯源时未排水，溯源发现该排口形式为水泥沟，水泥沟向山上延伸，实际为山体截洪沟。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57</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武当山旅游经济特区太极湖街道庄子路三巷22栋楼东南侧其他排口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FG4203620035QT00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111.063926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32.531736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山体截洪沟，排入市政管网，实际为非排口。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58</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武当山旅游经济特区太极湖街道庄子沟小区4号东北侧其他排口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FG4203620036QT00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111.063601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32.533493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山体雨水导流管，排入市政雨水管网，实际为非排口。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武当山旅游经济特区太极湖办事处老庄子沟变电站东北侧道路雨水边沟排口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FG4203620037QT00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111.062120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32.538205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经溯源核实，该排口为道路边沟雨水排口。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60</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武当山旅游经济特区元和观村5组汉十高速公路雨水排口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FG4203620045QT00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111.096110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32.510687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经溯源核实，该排口为高速公路边雨水排口。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湖北交投汉十高速公路运营管理有限公司武当山管理所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武当山旅游经济特区316国道青徽铺大桥河沟过水涵洞排口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FG4203620048GQ00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111.161982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32.494477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经溯源核实，该排口为一个河流穿过316国道的过水涵洞。</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水质达到《地表水环境质量标准》（GB3838-2002）Ⅲ类标准。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武当山旅游经济特区管委会水利</w:t>
            </w:r>
            <w:r>
              <w:rPr>
                <w:rFonts w:hint="eastAsia" w:ascii="仿宋_GB2312" w:hAnsi="仿宋_GB2312" w:eastAsia="仿宋_GB2312" w:cs="仿宋_GB2312"/>
                <w:szCs w:val="21"/>
                <w:lang w:eastAsia="zh-CN"/>
              </w:rPr>
              <w:t>和</w:t>
            </w:r>
            <w:r>
              <w:rPr>
                <w:rFonts w:hint="eastAsia" w:ascii="仿宋_GB2312" w:hAnsi="仿宋_GB2312" w:eastAsia="仿宋_GB2312" w:cs="仿宋_GB2312"/>
                <w:szCs w:val="21"/>
              </w:rPr>
              <w:t>湖泊局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武当山旅游经济特区管委会水利</w:t>
            </w:r>
            <w:r>
              <w:rPr>
                <w:rFonts w:hint="eastAsia" w:ascii="仿宋_GB2312" w:hAnsi="仿宋_GB2312" w:eastAsia="仿宋_GB2312" w:cs="仿宋_GB2312"/>
                <w:szCs w:val="21"/>
                <w:lang w:eastAsia="zh-CN"/>
              </w:rPr>
              <w:t>和</w:t>
            </w:r>
            <w:r>
              <w:rPr>
                <w:rFonts w:hint="eastAsia" w:ascii="仿宋_GB2312" w:hAnsi="仿宋_GB2312" w:eastAsia="仿宋_GB2312" w:cs="仿宋_GB2312"/>
                <w:szCs w:val="21"/>
              </w:rPr>
              <w:t>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武当山旅游经济特区太和大道襄渝铁路天沟通道处山体截洪沟排口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FG4203620050QT00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111.099420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32.508044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该排口为铁路边山体护坡雨洪导流道，汇流入道路雨水边沟。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武当山</w:t>
            </w:r>
            <w:r>
              <w:rPr>
                <w:rFonts w:hint="eastAsia" w:ascii="仿宋_GB2312" w:hAnsi="仿宋_GB2312" w:eastAsia="仿宋_GB2312" w:cs="仿宋_GB2312"/>
                <w:szCs w:val="21"/>
              </w:rPr>
              <w:t>街道办事处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武当山</w:t>
            </w:r>
            <w:r>
              <w:rPr>
                <w:rFonts w:hint="eastAsia" w:ascii="仿宋_GB2312" w:hAnsi="仿宋_GB2312" w:eastAsia="仿宋_GB2312" w:cs="仿宋_GB2312"/>
                <w:szCs w:val="21"/>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63</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武当山旅游经济特区太和大道武当人家饭店后方铁路山体护坡雨洪排口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FG4203620051QT00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111.102873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32.505605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山体截洪沟。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武当山</w:t>
            </w:r>
            <w:r>
              <w:rPr>
                <w:rFonts w:hint="eastAsia" w:ascii="仿宋_GB2312" w:hAnsi="仿宋_GB2312" w:eastAsia="仿宋_GB2312" w:cs="仿宋_GB2312"/>
                <w:szCs w:val="21"/>
              </w:rPr>
              <w:t>街道办事处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w:t>
            </w:r>
            <w:r>
              <w:rPr>
                <w:rFonts w:hint="eastAsia" w:ascii="仿宋_GB2312" w:hAnsi="仿宋_GB2312" w:eastAsia="仿宋_GB2312" w:cs="仿宋_GB2312"/>
                <w:szCs w:val="21"/>
                <w:lang w:eastAsia="zh-CN"/>
              </w:rPr>
              <w:t>武当山</w:t>
            </w:r>
            <w:r>
              <w:rPr>
                <w:rFonts w:hint="eastAsia" w:ascii="仿宋_GB2312" w:hAnsi="仿宋_GB2312" w:eastAsia="仿宋_GB2312" w:cs="仿宋_GB2312"/>
                <w:szCs w:val="21"/>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64</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武当山旅游经济特区太极湖旅游度假区港口码头雨水排口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FG4203620052GK00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111.146489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32.512816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港口码头排污口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雨水排口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溯源发现该排口为太极湖旅游度假区港口码头雨洪排口。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湖北武当太极湖水上游乐有限公司</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65</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武当山旅游经济特区316国道青徽铺大桥南侧道路雨洪排口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FG4203620054QT00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111.161651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32.494156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溯源发现该排口为道路雨水汇流排口。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66</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武当山特区316国道青徽铺大桥北侧道路雨水边沟排口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FG4203620056QT00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111.160977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32.496219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溯源时未排水，沿排口管道走向往上游溯源，穿越道路发现其连接道路雨水边沟，确认其排放雨水。</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67</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武当山旅游经济特区柳树沟村其他排口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FG4203620059QT00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111.127477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32.526313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该排口为库汊筑坝过水涵洞，为水系连通设施，实际为非排口。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水质达到《地表水环境质量标准》（GB3838-2002）Ⅳ类标准。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68</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武当山旅游经济特区柳树沟村排涝井排口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FG4203620060QT00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111.131213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32.525217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现场溯源发现该排口为过水涵洞，由旁边一个取水井取水直排水库，主要功能是排涝。</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水质达到《地表水环境质量标准》（GB3838-2002）Ⅱ类标准。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69</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武当山旅游经济特区西沟村五组王满华家旁雨水排口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FG4203620062QT00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111.101206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32.531387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该排口主要排放西沟村五组乡村公路雨水及山坡和居民区雨水。</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70</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武当山旅游经济特区柳树沟村五组中国一冶工地旁其他排口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FG4203620063QT00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111.113607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32.520973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溯源发现该排口为实际为一过水通道（排口位置地势较高）最终汇入污水管道。</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武当山旅游经济特区太极湖码头其他排口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FG4203620065QT00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111.131116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32.503669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溯源发现该排口为道路下方过水涵洞，已经封堵。</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武当山旅游经济特区快乐谷瓦房河入库排口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FG4203620068GQ00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111.139533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32.494209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瓦房河入库排口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水质达到《地表水环境质量标准》（GB3838-2002）Ⅲ类标准。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落实河长制度，制定水质保护方案，确保水质质量不下降，加强长效监管。</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武当山旅游经济特区水利</w:t>
            </w:r>
            <w:r>
              <w:rPr>
                <w:rFonts w:hint="eastAsia" w:ascii="仿宋_GB2312" w:hAnsi="仿宋_GB2312" w:eastAsia="仿宋_GB2312" w:cs="仿宋_GB2312"/>
                <w:szCs w:val="21"/>
                <w:lang w:eastAsia="zh-CN"/>
              </w:rPr>
              <w:t>和</w:t>
            </w:r>
            <w:r>
              <w:rPr>
                <w:rFonts w:hint="eastAsia" w:ascii="仿宋_GB2312" w:hAnsi="仿宋_GB2312" w:eastAsia="仿宋_GB2312" w:cs="仿宋_GB2312"/>
                <w:szCs w:val="21"/>
              </w:rPr>
              <w:t>湖泊局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武当山旅游经济特区水利</w:t>
            </w:r>
            <w:r>
              <w:rPr>
                <w:rFonts w:hint="eastAsia" w:ascii="仿宋_GB2312" w:hAnsi="仿宋_GB2312" w:eastAsia="仿宋_GB2312" w:cs="仿宋_GB2312"/>
                <w:szCs w:val="21"/>
                <w:lang w:eastAsia="zh-CN"/>
              </w:rPr>
              <w:t>和</w:t>
            </w:r>
            <w:r>
              <w:rPr>
                <w:rFonts w:hint="eastAsia" w:ascii="仿宋_GB2312" w:hAnsi="仿宋_GB2312" w:eastAsia="仿宋_GB2312" w:cs="仿宋_GB2312"/>
                <w:szCs w:val="21"/>
              </w:rPr>
              <w:t>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73</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武当山旅游经济特区草店4#号桥桥头右下方其他排口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FG4203620069QT00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111.131557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32.500110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溯源发现该排口为原来修筑楼梯坍塌后形成的坑洼地带，属于非排口。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不排水。</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对塌陷处进行修复；加强日常巡查。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74</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武当山旅游经济特区316国道草店4#桥西桥头左侧道路雨水边沟排口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FG4203620070QT00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111.131328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32.499849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经溯源核实，该排口为道路雨水边沟排口。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清理雨水渠，加强日常巡查。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75</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武当山旅游经济特区青徽铺村龚家沟过水涵洞排口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FG4203620071GQ00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111.157327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32.495525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溯源发现该排口为龚家沟过水涵洞排口。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水质达到《地表水环境质量标准》（GB3838-2002）Ⅲ类标准。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清理涵洞和雨水沟渠，加强日常巡查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武当山旅游经济特区水利和湖泊局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76</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武当山旅游经济特区桑树庙村小河沟过水涵洞排口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FG4203620074GQ00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111.162218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32.491058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溯源时正在排水，排水量小且清澈，从排口涵洞处能明显看到上游河流。</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水质达到《地表水环境质量标准》（GB3838-2002）Ⅳ类标准。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77</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武当山旅游经济特区寨沟村十字河入库过水涵洞排口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FG4203620075GQ00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111.180792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32.536926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溯源发现该排口为十字河入库过水涵洞排口。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水质达到《地表水环境质量标准》（GB3838-2002）Ⅲ类标准。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武当山旅游经济特区水利</w:t>
            </w:r>
            <w:r>
              <w:rPr>
                <w:rFonts w:hint="eastAsia" w:ascii="仿宋_GB2312" w:hAnsi="仿宋_GB2312" w:eastAsia="仿宋_GB2312" w:cs="仿宋_GB2312"/>
                <w:szCs w:val="21"/>
                <w:lang w:eastAsia="zh-CN"/>
              </w:rPr>
              <w:t>和</w:t>
            </w:r>
            <w:r>
              <w:rPr>
                <w:rFonts w:hint="eastAsia" w:ascii="仿宋_GB2312" w:hAnsi="仿宋_GB2312" w:eastAsia="仿宋_GB2312" w:cs="仿宋_GB2312"/>
                <w:szCs w:val="21"/>
              </w:rPr>
              <w:t>湖泊局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武当山旅游经济特区水利</w:t>
            </w:r>
            <w:r>
              <w:rPr>
                <w:rFonts w:hint="eastAsia" w:ascii="仿宋_GB2312" w:hAnsi="仿宋_GB2312" w:eastAsia="仿宋_GB2312" w:cs="仿宋_GB2312"/>
                <w:szCs w:val="21"/>
                <w:lang w:eastAsia="zh-CN"/>
              </w:rPr>
              <w:t>和</w:t>
            </w:r>
            <w:r>
              <w:rPr>
                <w:rFonts w:hint="eastAsia" w:ascii="仿宋_GB2312" w:hAnsi="仿宋_GB2312" w:eastAsia="仿宋_GB2312" w:cs="仿宋_GB2312"/>
                <w:szCs w:val="21"/>
              </w:rPr>
              <w:t>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78</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武当山旅游经济特区龙王沟村小河沟入库排口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FG4203620076GQ00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111.157185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32.518070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溯源发现该排口为入库河汊型排口，主要排放小河沟自然来水和龙王沟人工湿地尾水，其中小河沟也截流至人工湿地，只有在洪水时才溢流排水。</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水质达到《地表水环境质量标准》（GB3838-2002）Ⅲ类标准。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79</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武当山旅游经济特区龙王沟村山林雨洪排口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FG4203620077QT00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111.157986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32.516312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该排口为山林雨洪排口，排口上方有一积水坑，积水满后通过该渠道排水，排水进入小沟渠，最终汇入丹江口水库。</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80</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武当山旅游经济特区龙王沟村四组小河沟排口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FG4203620078GQ00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111.157653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32.512137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溯源时正在排水，排水量小且清澈，从排口往上游溯源，发现一条沟渠延伸至远处山脚下，其为沟渠型排口。</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水质达到《地表水环境质量标准》（GB3838-2002）Ⅲ类标准。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武当山旅游经济特区太极湖办事处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81</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武当山旅游经济特区316国道草店3#桥小河沟入库排口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FG4203620080GQ00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111.135307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32.498077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沟渠、河港（涌）、排干等</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自然河汊</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水质达到《地表水环境质量标准》（GB3838-2002）Ⅲ类标准。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落实河长制度，制定水质保护方案，确保水质质量不下降，加强长效监管。</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武当山旅游经济特区水利</w:t>
            </w:r>
            <w:r>
              <w:rPr>
                <w:rFonts w:hint="eastAsia" w:ascii="仿宋_GB2312" w:hAnsi="仿宋_GB2312" w:eastAsia="仿宋_GB2312" w:cs="仿宋_GB2312"/>
                <w:szCs w:val="21"/>
                <w:lang w:eastAsia="zh-CN"/>
              </w:rPr>
              <w:t>和</w:t>
            </w:r>
            <w:r>
              <w:rPr>
                <w:rFonts w:hint="eastAsia" w:ascii="仿宋_GB2312" w:hAnsi="仿宋_GB2312" w:eastAsia="仿宋_GB2312" w:cs="仿宋_GB2312"/>
                <w:szCs w:val="21"/>
              </w:rPr>
              <w:t>湖泊局</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武当山旅游经济特区水利</w:t>
            </w:r>
            <w:r>
              <w:rPr>
                <w:rFonts w:hint="eastAsia" w:ascii="仿宋_GB2312" w:hAnsi="仿宋_GB2312" w:eastAsia="仿宋_GB2312" w:cs="仿宋_GB2312"/>
                <w:szCs w:val="21"/>
                <w:lang w:eastAsia="zh-CN"/>
              </w:rPr>
              <w:t>和</w:t>
            </w:r>
            <w:r>
              <w:rPr>
                <w:rFonts w:hint="eastAsia" w:ascii="仿宋_GB2312" w:hAnsi="仿宋_GB2312" w:eastAsia="仿宋_GB2312" w:cs="仿宋_GB2312"/>
                <w:szCs w:val="21"/>
              </w:rPr>
              <w:t>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82</w:t>
            </w:r>
          </w:p>
        </w:tc>
        <w:tc>
          <w:tcPr>
            <w:tcW w:w="150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湖北筑喜商砼有限责任公司侧面山体截洪沟排口</w:t>
            </w:r>
          </w:p>
        </w:tc>
        <w:tc>
          <w:tcPr>
            <w:tcW w:w="118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FG4203810484QT00</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111.059900 </w:t>
            </w:r>
          </w:p>
        </w:tc>
        <w:tc>
          <w:tcPr>
            <w:tcW w:w="1276"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32.526294 </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113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其他排口</w:t>
            </w:r>
          </w:p>
        </w:tc>
        <w:tc>
          <w:tcPr>
            <w:tcW w:w="2837"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山体截洪沟</w:t>
            </w:r>
          </w:p>
        </w:tc>
        <w:tc>
          <w:tcPr>
            <w:tcW w:w="1084"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无需整治</w:t>
            </w:r>
          </w:p>
        </w:tc>
        <w:tc>
          <w:tcPr>
            <w:tcW w:w="1908"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水质达到《地表水环境质量标准》（GB3838-2002）Ⅴ类标准。</w:t>
            </w:r>
          </w:p>
        </w:tc>
        <w:tc>
          <w:tcPr>
            <w:tcW w:w="2310"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加强日常巡查。</w:t>
            </w:r>
          </w:p>
        </w:tc>
        <w:tc>
          <w:tcPr>
            <w:tcW w:w="103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2023.12</w:t>
            </w:r>
          </w:p>
        </w:tc>
        <w:tc>
          <w:tcPr>
            <w:tcW w:w="1059"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w:t>
            </w:r>
          </w:p>
        </w:tc>
        <w:tc>
          <w:tcPr>
            <w:tcW w:w="1335"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湖北筑喜商砼有限责任公司</w:t>
            </w:r>
          </w:p>
        </w:tc>
        <w:tc>
          <w:tcPr>
            <w:tcW w:w="1423" w:type="dxa"/>
            <w:shd w:val="clear" w:color="auto" w:fill="auto"/>
            <w:vAlign w:val="center"/>
          </w:tcPr>
          <w:p>
            <w:pPr>
              <w:widowControl/>
              <w:spacing w:line="240" w:lineRule="exact"/>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武当山旅游经济特区管委会</w:t>
            </w:r>
            <w:r>
              <w:rPr>
                <w:rFonts w:hint="eastAsia" w:ascii="仿宋_GB2312" w:hAnsi="仿宋_GB2312" w:eastAsia="仿宋_GB2312" w:cs="仿宋_GB2312"/>
                <w:szCs w:val="21"/>
                <w:lang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21" w:type="dxa"/>
            <w:gridSpan w:val="15"/>
            <w:shd w:val="clear" w:color="auto" w:fill="auto"/>
            <w:vAlign w:val="center"/>
          </w:tcPr>
          <w:p>
            <w:pPr>
              <w:widowControl/>
              <w:spacing w:line="240" w:lineRule="exact"/>
              <w:jc w:val="left"/>
              <w:textAlignment w:val="center"/>
              <w:rPr>
                <w:rFonts w:hint="eastAsia" w:ascii="仿宋" w:hAnsi="仿宋" w:eastAsia="仿宋"/>
                <w:szCs w:val="21"/>
              </w:rPr>
            </w:pPr>
            <w:r>
              <w:rPr>
                <w:rFonts w:hint="eastAsia" w:ascii="仿宋" w:hAnsi="仿宋" w:eastAsia="仿宋"/>
                <w:b/>
                <w:bCs/>
                <w:sz w:val="20"/>
                <w:szCs w:val="20"/>
              </w:rPr>
              <w:t>备注：整治类3</w:t>
            </w:r>
            <w:r>
              <w:rPr>
                <w:rFonts w:ascii="仿宋" w:hAnsi="仿宋" w:eastAsia="仿宋"/>
                <w:b/>
                <w:bCs/>
                <w:sz w:val="20"/>
                <w:szCs w:val="20"/>
              </w:rPr>
              <w:t>4</w:t>
            </w:r>
            <w:r>
              <w:rPr>
                <w:rFonts w:hint="eastAsia" w:ascii="仿宋" w:hAnsi="仿宋" w:eastAsia="仿宋"/>
                <w:b/>
                <w:bCs/>
                <w:sz w:val="20"/>
                <w:szCs w:val="20"/>
              </w:rPr>
              <w:t>个，无需整治类4</w:t>
            </w:r>
            <w:r>
              <w:rPr>
                <w:rFonts w:ascii="仿宋" w:hAnsi="仿宋" w:eastAsia="仿宋"/>
                <w:b/>
                <w:bCs/>
                <w:sz w:val="20"/>
                <w:szCs w:val="20"/>
              </w:rPr>
              <w:t>8</w:t>
            </w:r>
            <w:r>
              <w:rPr>
                <w:rFonts w:hint="eastAsia" w:ascii="仿宋" w:hAnsi="仿宋" w:eastAsia="仿宋"/>
                <w:b/>
                <w:bCs/>
                <w:sz w:val="20"/>
                <w:szCs w:val="20"/>
              </w:rPr>
              <w:t>个。总投资约1</w:t>
            </w:r>
            <w:r>
              <w:rPr>
                <w:rFonts w:ascii="仿宋" w:hAnsi="仿宋" w:eastAsia="仿宋"/>
                <w:b/>
                <w:bCs/>
                <w:sz w:val="20"/>
                <w:szCs w:val="20"/>
              </w:rPr>
              <w:t>200</w:t>
            </w:r>
            <w:r>
              <w:rPr>
                <w:rFonts w:hint="eastAsia" w:ascii="仿宋" w:hAnsi="仿宋" w:eastAsia="仿宋"/>
                <w:b/>
                <w:bCs/>
                <w:sz w:val="20"/>
                <w:szCs w:val="20"/>
              </w:rPr>
              <w:t>万元。</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p>
    <w:sectPr>
      <w:footerReference r:id="rId3" w:type="default"/>
      <w:pgSz w:w="23811" w:h="16838" w:orient="landscape"/>
      <w:pgMar w:top="1701" w:right="1701" w:bottom="1701" w:left="1701"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wMjJhZWVkNzI2OTBmZjRmZDljYTQ1MDIwYWIwOTUifQ=="/>
  </w:docVars>
  <w:rsids>
    <w:rsidRoot w:val="00C91005"/>
    <w:rsid w:val="00177544"/>
    <w:rsid w:val="001B13C3"/>
    <w:rsid w:val="00203189"/>
    <w:rsid w:val="002D6712"/>
    <w:rsid w:val="00333CE8"/>
    <w:rsid w:val="004A3700"/>
    <w:rsid w:val="00517789"/>
    <w:rsid w:val="0056776E"/>
    <w:rsid w:val="005C564E"/>
    <w:rsid w:val="0062532B"/>
    <w:rsid w:val="00651BD8"/>
    <w:rsid w:val="006B52FA"/>
    <w:rsid w:val="006F19FF"/>
    <w:rsid w:val="006F260F"/>
    <w:rsid w:val="00704B78"/>
    <w:rsid w:val="007C3A3A"/>
    <w:rsid w:val="0080313E"/>
    <w:rsid w:val="00A202AD"/>
    <w:rsid w:val="00BC176F"/>
    <w:rsid w:val="00BD5B8B"/>
    <w:rsid w:val="00BF7781"/>
    <w:rsid w:val="00C73E7D"/>
    <w:rsid w:val="00C860C9"/>
    <w:rsid w:val="00C91005"/>
    <w:rsid w:val="00D5530E"/>
    <w:rsid w:val="00E93F6B"/>
    <w:rsid w:val="00EB66FB"/>
    <w:rsid w:val="00F03851"/>
    <w:rsid w:val="00F170D9"/>
    <w:rsid w:val="00F17264"/>
    <w:rsid w:val="00F5744F"/>
    <w:rsid w:val="00F60385"/>
    <w:rsid w:val="00FD68E5"/>
    <w:rsid w:val="03B36BDF"/>
    <w:rsid w:val="0E2E350A"/>
    <w:rsid w:val="107E35A1"/>
    <w:rsid w:val="1E1B5CF3"/>
    <w:rsid w:val="212D4FFA"/>
    <w:rsid w:val="27A3426E"/>
    <w:rsid w:val="3A7A3912"/>
    <w:rsid w:val="3E4B3C4C"/>
    <w:rsid w:val="41FE049B"/>
    <w:rsid w:val="456F28FA"/>
    <w:rsid w:val="4994005F"/>
    <w:rsid w:val="4BE66134"/>
    <w:rsid w:val="54CD1CC0"/>
    <w:rsid w:val="589321AF"/>
    <w:rsid w:val="69BE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rFonts w:ascii="Times New Roman" w:eastAsia="方正仿宋简体"/>
    </w:rPr>
  </w:style>
  <w:style w:type="paragraph" w:styleId="3">
    <w:name w:val="Body Text Indent"/>
    <w:basedOn w:val="1"/>
    <w:next w:val="1"/>
    <w:qFormat/>
    <w:uiPriority w:val="0"/>
    <w:pPr>
      <w:spacing w:line="560" w:lineRule="exact"/>
      <w:ind w:firstLine="200" w:firstLineChars="200"/>
    </w:pPr>
    <w:rPr>
      <w:rFonts w:ascii="仿宋_GB2312" w:eastAsia="仿宋_GB2312"/>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font61"/>
    <w:basedOn w:val="8"/>
    <w:qFormat/>
    <w:uiPriority w:val="0"/>
    <w:rPr>
      <w:rFonts w:hint="default" w:ascii="Times New Roman" w:hAnsi="Times New Roman" w:cs="Times New Roman"/>
      <w:color w:val="000000"/>
      <w:sz w:val="18"/>
      <w:szCs w:val="18"/>
      <w:u w:val="none"/>
    </w:rPr>
  </w:style>
  <w:style w:type="character" w:customStyle="1" w:styleId="12">
    <w:name w:val="font51"/>
    <w:basedOn w:val="8"/>
    <w:qFormat/>
    <w:uiPriority w:val="0"/>
    <w:rPr>
      <w:rFonts w:hint="eastAsia" w:ascii="宋体" w:hAnsi="宋体" w:eastAsia="宋体" w:cs="宋体"/>
      <w:color w:val="000000"/>
      <w:sz w:val="18"/>
      <w:szCs w:val="18"/>
      <w:u w:val="none"/>
    </w:rPr>
  </w:style>
  <w:style w:type="character" w:customStyle="1" w:styleId="13">
    <w:name w:val="font11"/>
    <w:basedOn w:val="8"/>
    <w:qFormat/>
    <w:uiPriority w:val="0"/>
    <w:rPr>
      <w:rFonts w:hint="default" w:ascii="Times New Roman" w:hAnsi="Times New Roman" w:cs="Times New Roman"/>
      <w:color w:val="000000"/>
      <w:sz w:val="18"/>
      <w:szCs w:val="18"/>
      <w:u w:val="none"/>
    </w:rPr>
  </w:style>
  <w:style w:type="character" w:customStyle="1" w:styleId="14">
    <w:name w:val="font3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1676</Characters>
  <Lines>13</Lines>
  <Paragraphs>3</Paragraphs>
  <TotalTime>11</TotalTime>
  <ScaleCrop>false</ScaleCrop>
  <LinksUpToDate>false</LinksUpToDate>
  <CharactersWithSpaces>1967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2023-06-19T00:24:00Z</dcterms:created>
  <dc:creator>Group_D02</dc:creator>
  <cp:lastModifiedBy>年月光景</cp:lastModifiedBy>
  <cp:lastPrinted>2023-10-07T08:01:00Z</cp:lastPrinted>
  <dcterms:modified xsi:type="dcterms:W3CDTF">2023-10-10T09:15:40Z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4412062B419246228E8F15E7236B3884_13</vt:lpwstr>
  </property>
</Properties>
</file>